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5e60b0d6e301b2af8861fb80c9e85d8e4971972"/>
    <w:p>
      <w:pPr>
        <w:pStyle w:val="Heading2"/>
      </w:pPr>
      <w:r>
        <w:t xml:space="preserve">Nota Interna – Estratégia de Execução da Sentença</w:t>
      </w:r>
    </w:p>
    <w:p>
      <w:pPr>
        <w:pStyle w:val="FirstParagraph"/>
      </w:pPr>
      <w:r>
        <w:rPr>
          <w:b/>
          <w:bCs/>
        </w:rPr>
        <w:t xml:space="preserve">Processo n.º 1234/2026 – Alteração da Regulação das Responsabilidades Parentais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123 456 789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987 654 321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 Ana Sofia Martins – OA 12345; Dr. Luís Fernando Carvalho – OA 67890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da Família e dos Menores da Comarca de Lisboa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Lisboa, 20 de fevereiro de 2026</w:t>
      </w:r>
      <w:r>
        <w:br/>
      </w:r>
      <w:r>
        <w:rPr>
          <w:b/>
          <w:bCs/>
        </w:rPr>
        <w:t xml:space="preserve">Ref.:</w:t>
      </w:r>
      <w:r>
        <w:t xml:space="preserve"> </w:t>
      </w:r>
      <w:r>
        <w:t xml:space="preserve">2026/INT/03</w:t>
      </w:r>
    </w:p>
    <w:p>
      <w:r>
        <w:pict>
          <v:rect style="width:0;height:1.5pt" o:hralign="center" o:hrstd="t" o:hr="t"/>
        </w:pict>
      </w:r>
    </w:p>
    <w:bookmarkStart w:id="9" w:name="introdução"/>
    <w:p>
      <w:pPr>
        <w:pStyle w:val="Heading3"/>
      </w:pPr>
      <w:r>
        <w:t xml:space="preserve">1. Introdução</w:t>
      </w:r>
    </w:p>
    <w:p>
      <w:pPr>
        <w:pStyle w:val="FirstParagraph"/>
      </w:pPr>
      <w:r>
        <w:t xml:space="preserve">A presente nota interna tem por objetivo delinear a</w:t>
      </w:r>
      <w:r>
        <w:t xml:space="preserve"> </w:t>
      </w:r>
      <w:r>
        <w:rPr>
          <w:b/>
          <w:bCs/>
        </w:rPr>
        <w:t xml:space="preserve">estratégia de execução da sentença</w:t>
      </w:r>
      <w:r>
        <w:t xml:space="preserve"> </w:t>
      </w:r>
      <w:r>
        <w:t xml:space="preserve">proferida em</w:t>
      </w:r>
      <w:r>
        <w:t xml:space="preserve"> </w:t>
      </w:r>
      <w:r>
        <w:rPr>
          <w:b/>
          <w:bCs/>
        </w:rPr>
        <w:t xml:space="preserve">15 de janeiro de 2026</w:t>
      </w:r>
      <w:r>
        <w:t xml:space="preserve">, a qual fixou novo regime de guarda da menor Ana Sofia Pereira (8 anos), estabelecendo</w:t>
      </w:r>
      <w:r>
        <w:t xml:space="preserve"> </w:t>
      </w:r>
      <w:r>
        <w:rPr>
          <w:b/>
          <w:bCs/>
        </w:rPr>
        <w:t xml:space="preserve">guarda exclusiva à mãe</w:t>
      </w:r>
      <w:r>
        <w:t xml:space="preserve">, visitas</w:t>
      </w:r>
      <w:r>
        <w:t xml:space="preserve"> </w:t>
      </w:r>
      <w:r>
        <w:rPr>
          <w:b/>
          <w:bCs/>
        </w:rPr>
        <w:t xml:space="preserve">supervisionadas</w:t>
      </w:r>
      <w:r>
        <w:t xml:space="preserve"> </w:t>
      </w:r>
      <w:r>
        <w:t xml:space="preserve">ao pai e a obrigação de o réu mudar de residência para a Área Metropolitana de Lisboa no prazo de 30 dias.</w:t>
      </w:r>
    </w:p>
    <w:p>
      <w:pPr>
        <w:pStyle w:val="BodyText"/>
      </w:pPr>
      <w:r>
        <w:t xml:space="preserve">A correta implementação destes termos é essencial para salvaguardar o</w:t>
      </w:r>
      <w:r>
        <w:t xml:space="preserve"> </w:t>
      </w:r>
      <w:r>
        <w:rPr>
          <w:b/>
          <w:bCs/>
        </w:rPr>
        <w:t xml:space="preserve">melhor interesse da menor</w:t>
      </w:r>
      <w:r>
        <w:t xml:space="preserve"> </w:t>
      </w:r>
      <w:r>
        <w:t xml:space="preserve">e evitar a perpetuação de situações de instabilidade emocional. Esta estratégia será coordenada entre a equipa jurídica, o serviço de apoio social e o tribunal competente.</w:t>
      </w:r>
    </w:p>
    <w:p>
      <w:r>
        <w:pict>
          <v:rect style="width:0;height:1.5pt" o:hralign="center" o:hrstd="t" o:hr="t"/>
        </w:pict>
      </w:r>
    </w:p>
    <w:bookmarkEnd w:id="9"/>
    <w:bookmarkStart w:id="10" w:name="resumo-da-sentença"/>
    <w:p>
      <w:pPr>
        <w:pStyle w:val="Heading3"/>
      </w:pPr>
      <w:r>
        <w:t xml:space="preserve">2. Resumo da Sentença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97"/>
        <w:gridCol w:w="622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Conteúdo da Sentença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Guarda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Guarda exclusiva</w:t>
            </w:r>
            <w:r>
              <w:t xml:space="preserve"> </w:t>
            </w:r>
            <w:r>
              <w:t xml:space="preserve">a Maria da Conceição Silva, com poder de decisão sobre a educação, saúde e residência da menor.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Visitas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Visitas supervisionadas</w:t>
            </w:r>
            <w:r>
              <w:t xml:space="preserve"> </w:t>
            </w:r>
            <w:r>
              <w:t xml:space="preserve">ao pai, a realizar‑se nas instalações do Centro de Apoio à Família (CAF) de Lisboa,</w:t>
            </w:r>
            <w:r>
              <w:t xml:space="preserve"> </w:t>
            </w:r>
            <w:r>
              <w:rPr>
                <w:b/>
                <w:bCs/>
              </w:rPr>
              <w:t xml:space="preserve">às quintas‑feiras, das 15h00 às 17h00</w:t>
            </w:r>
            <w:r>
              <w:t xml:space="preserve">, durante 12 meses, renováveis.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Residência do Pai</w:t>
            </w:r>
          </w:p>
        </w:tc>
        <w:tc>
          <w:tcPr/>
          <w:p>
            <w:pPr>
              <w:pStyle w:val="Compact"/>
            </w:pPr>
            <w:r>
              <w:t xml:space="preserve">O réu deve</w:t>
            </w:r>
            <w:r>
              <w:t xml:space="preserve"> </w:t>
            </w:r>
            <w:r>
              <w:rPr>
                <w:b/>
                <w:bCs/>
              </w:rPr>
              <w:t xml:space="preserve">transferir a sua residência</w:t>
            </w:r>
            <w:r>
              <w:t xml:space="preserve"> </w:t>
            </w:r>
            <w:r>
              <w:t xml:space="preserve">para a Área Metropolitana de Lisboa até</w:t>
            </w:r>
            <w:r>
              <w:t xml:space="preserve"> </w:t>
            </w:r>
            <w:r>
              <w:rPr>
                <w:b/>
                <w:bCs/>
              </w:rPr>
              <w:t xml:space="preserve">14 de fevereiro de 2026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Assistência Psicossocial</w:t>
            </w:r>
          </w:p>
        </w:tc>
        <w:tc>
          <w:tcPr/>
          <w:p>
            <w:pPr>
              <w:pStyle w:val="Compact"/>
            </w:pPr>
            <w:r>
              <w:t xml:space="preserve">A menor deverá ser acompanhada por um psicólogo infantil, com sessões quinzenais, a cargo do Serviço de Proteção de Crianças e Jovens (SPCJ).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Cumprimento</w:t>
            </w:r>
          </w:p>
        </w:tc>
        <w:tc>
          <w:tcPr/>
          <w:p>
            <w:pPr>
              <w:pStyle w:val="Compact"/>
            </w:pPr>
            <w:r>
              <w:t xml:space="preserve">Em caso de incumprimento, o tribunal poderá impor</w:t>
            </w:r>
            <w:r>
              <w:t xml:space="preserve"> </w:t>
            </w:r>
            <w:r>
              <w:rPr>
                <w:b/>
                <w:bCs/>
              </w:rPr>
              <w:t xml:space="preserve">coima diária de €150,00</w:t>
            </w:r>
            <w:r>
              <w:t xml:space="preserve"> </w:t>
            </w:r>
            <w:r>
              <w:t xml:space="preserve">e, em última instância,</w:t>
            </w:r>
            <w:r>
              <w:t xml:space="preserve"> </w:t>
            </w:r>
            <w:r>
              <w:rPr>
                <w:b/>
                <w:bCs/>
              </w:rPr>
              <w:t xml:space="preserve">suspensão da autoridade parental</w:t>
            </w:r>
            <w:r>
              <w:t xml:space="preserve"> </w:t>
            </w:r>
            <w:r>
              <w:t xml:space="preserve">ao pai.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objetivos-da-execução"/>
    <w:p>
      <w:pPr>
        <w:pStyle w:val="Heading3"/>
      </w:pPr>
      <w:r>
        <w:t xml:space="preserve">3. Objetivos da Execução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Garantir o cumprimento integral da sentença</w:t>
      </w:r>
      <w:r>
        <w:t xml:space="preserve"> </w:t>
      </w:r>
      <w:r>
        <w:t xml:space="preserve">dentro dos prazos estabelecidos.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Monitorizar o bem‑estar da menor</w:t>
      </w:r>
      <w:r>
        <w:t xml:space="preserve">, através de acompanhamento psicossocial e relatórios mensais.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Prevenir e mitigar eventuais incumprimentos</w:t>
      </w:r>
      <w:r>
        <w:t xml:space="preserve"> </w:t>
      </w:r>
      <w:r>
        <w:t xml:space="preserve">por parte do réu, recorrendo a medidas coercitivas previstas.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Manter comunicação fluida</w:t>
      </w:r>
      <w:r>
        <w:t xml:space="preserve"> </w:t>
      </w:r>
      <w:r>
        <w:t xml:space="preserve">com o tribunal, o CAF e o SPCJ, assegurando a produção tempestiva de todos os documentos exigidos.</w:t>
      </w:r>
    </w:p>
    <w:p>
      <w:r>
        <w:pict>
          <v:rect style="width:0;height:1.5pt" o:hralign="center" o:hrstd="t" o:hr="t"/>
        </w:pict>
      </w:r>
    </w:p>
    <w:bookmarkEnd w:id="11"/>
    <w:bookmarkStart w:id="17" w:name="estratégia-proposta"/>
    <w:p>
      <w:pPr>
        <w:pStyle w:val="Heading3"/>
      </w:pPr>
      <w:r>
        <w:t xml:space="preserve">4. Estratégia Proposta</w:t>
      </w:r>
    </w:p>
    <w:bookmarkStart w:id="12" w:name="notificação-ao-réu"/>
    <w:p>
      <w:pPr>
        <w:pStyle w:val="Heading4"/>
      </w:pPr>
      <w:r>
        <w:t xml:space="preserve">4.1. Notificação ao Réu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Carta‑certificada</w:t>
      </w:r>
      <w:r>
        <w:t xml:space="preserve"> </w:t>
      </w:r>
      <w:r>
        <w:t xml:space="preserve">com aviso de receção a enviar até</w:t>
      </w:r>
      <w:r>
        <w:t xml:space="preserve"> </w:t>
      </w:r>
      <w:r>
        <w:rPr>
          <w:b/>
          <w:bCs/>
        </w:rPr>
        <w:t xml:space="preserve">22 de fevereiro de 2026</w:t>
      </w:r>
      <w:r>
        <w:t xml:space="preserve">, contendo:</w:t>
      </w:r>
    </w:p>
    <w:p>
      <w:pPr>
        <w:pStyle w:val="Compact"/>
        <w:numPr>
          <w:ilvl w:val="1"/>
          <w:numId w:val="1003"/>
        </w:numPr>
      </w:pPr>
      <w:r>
        <w:t xml:space="preserve">Cópia integral da sentença;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Exigência de mudança de residência, com prazo de 30 dias;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Informação sobre o início das visitas supervisionadas;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Advertência quanto à coima diária e demais sanções.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Email de follow‑up</w:t>
      </w:r>
      <w:r>
        <w:t xml:space="preserve"> </w:t>
      </w:r>
      <w:r>
        <w:t xml:space="preserve">(cópia ao tribunal) para confirmar a receção da carta e solicitar prova documental da mudança de domicílio (contrato de arrendamento ou escritura).</w:t>
      </w:r>
    </w:p>
    <w:bookmarkEnd w:id="12"/>
    <w:bookmarkStart w:id="13" w:name="X00bade6c9f4653493fc9108fb5ec2f534ca976c"/>
    <w:p>
      <w:pPr>
        <w:pStyle w:val="Heading4"/>
      </w:pPr>
      <w:r>
        <w:t xml:space="preserve">4.2. Pedido de Cumprimento de Guarda e Visitas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Requerimento ao Juízo</w:t>
      </w:r>
      <w:r>
        <w:t xml:space="preserve"> </w:t>
      </w:r>
      <w:r>
        <w:t xml:space="preserve">(processo n.º 1234/2026) solicitando a</w:t>
      </w:r>
      <w:r>
        <w:t xml:space="preserve"> </w:t>
      </w:r>
      <w:r>
        <w:rPr>
          <w:b/>
          <w:bCs/>
        </w:rPr>
        <w:t xml:space="preserve">emissão de ordem de cumprimento</w:t>
      </w:r>
      <w:r>
        <w:t xml:space="preserve"> </w:t>
      </w:r>
      <w:r>
        <w:t xml:space="preserve">para o CAF, com designação de psicólogo e definição de calendário de visitas.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Acordo de colaboração</w:t>
      </w:r>
      <w:r>
        <w:t xml:space="preserve"> </w:t>
      </w:r>
      <w:r>
        <w:t xml:space="preserve">com o CAF, a assinar até</w:t>
      </w:r>
      <w:r>
        <w:t xml:space="preserve"> </w:t>
      </w:r>
      <w:r>
        <w:rPr>
          <w:b/>
          <w:bCs/>
        </w:rPr>
        <w:t xml:space="preserve">1 de março de 2026</w:t>
      </w:r>
      <w:r>
        <w:t xml:space="preserve">, especificando:</w:t>
      </w:r>
    </w:p>
    <w:p>
      <w:pPr>
        <w:pStyle w:val="Compact"/>
        <w:numPr>
          <w:ilvl w:val="1"/>
          <w:numId w:val="1005"/>
        </w:numPr>
      </w:pPr>
      <w:r>
        <w:t xml:space="preserve">Local e horário das visitas;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Perfil do supervisor (psicólogo ou assistente social);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Procedimentos de registo (livro de presença, relatórios de comportamento).</w:t>
      </w:r>
    </w:p>
    <w:bookmarkEnd w:id="13"/>
    <w:bookmarkStart w:id="14" w:name="X62e8c564d0dc8f1f3e9d2ff196ab7961cae150c"/>
    <w:p>
      <w:pPr>
        <w:pStyle w:val="Heading4"/>
      </w:pPr>
      <w:r>
        <w:t xml:space="preserve">4.3. Medidas de Supervisão e Apoio Psicossocial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43"/>
        <w:gridCol w:w="1942"/>
        <w:gridCol w:w="1793"/>
        <w:gridCol w:w="2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Atividade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Frequência</w:t>
            </w:r>
          </w:p>
        </w:tc>
        <w:tc>
          <w:tcPr/>
          <w:p>
            <w:pPr>
              <w:pStyle w:val="Compact"/>
            </w:pPr>
            <w:r>
              <w:t xml:space="preserve">Prazo de Início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Sessões de psicologia à menor</w:t>
            </w:r>
          </w:p>
        </w:tc>
        <w:tc>
          <w:tcPr/>
          <w:p>
            <w:pPr>
              <w:pStyle w:val="Compact"/>
            </w:pPr>
            <w:r>
              <w:t xml:space="preserve">SPCJ – Dr.ª Carla Mendes</w:t>
            </w:r>
          </w:p>
        </w:tc>
        <w:tc>
          <w:tcPr/>
          <w:p>
            <w:pPr>
              <w:pStyle w:val="Compact"/>
            </w:pPr>
            <w:r>
              <w:t xml:space="preserve">Quinzenal</w:t>
            </w:r>
          </w:p>
        </w:tc>
        <w:tc>
          <w:tcPr/>
          <w:p>
            <w:pPr>
              <w:pStyle w:val="Compact"/>
            </w:pPr>
            <w:r>
              <w:t xml:space="preserve">5 de março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Relatório de acompanhamento</w:t>
            </w:r>
          </w:p>
        </w:tc>
        <w:tc>
          <w:tcPr/>
          <w:p>
            <w:pPr>
              <w:pStyle w:val="Compact"/>
            </w:pPr>
            <w:r>
              <w:t xml:space="preserve">Psicólogo designado</w:t>
            </w:r>
          </w:p>
        </w:tc>
        <w:tc>
          <w:tcPr/>
          <w:p>
            <w:pPr>
              <w:pStyle w:val="Compact"/>
            </w:pPr>
            <w:r>
              <w:t xml:space="preserve">Mensal</w:t>
            </w:r>
          </w:p>
        </w:tc>
        <w:tc>
          <w:tcPr/>
          <w:p>
            <w:pPr>
              <w:pStyle w:val="Compact"/>
            </w:pPr>
            <w:r>
              <w:t xml:space="preserve">30 de março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Avaliação de risco de incumprimento</w:t>
            </w:r>
          </w:p>
        </w:tc>
        <w:tc>
          <w:tcPr/>
          <w:p>
            <w:pPr>
              <w:pStyle w:val="Compact"/>
            </w:pPr>
            <w:r>
              <w:t xml:space="preserve">Assistente Social do CAF</w:t>
            </w:r>
          </w:p>
        </w:tc>
        <w:tc>
          <w:tcPr/>
          <w:p>
            <w:pPr>
              <w:pStyle w:val="Compact"/>
            </w:pPr>
            <w:r>
              <w:t xml:space="preserve">Trimestral</w:t>
            </w:r>
          </w:p>
        </w:tc>
        <w:tc>
          <w:tcPr/>
          <w:p>
            <w:pPr>
              <w:pStyle w:val="Compact"/>
            </w:pPr>
            <w:r>
              <w:t xml:space="preserve">30 de junho de 2026</w:t>
            </w:r>
          </w:p>
        </w:tc>
      </w:tr>
    </w:tbl>
    <w:bookmarkEnd w:id="14"/>
    <w:bookmarkStart w:id="15" w:name="medidas-coercitivas-e-execução-forçada"/>
    <w:p>
      <w:pPr>
        <w:pStyle w:val="Heading4"/>
      </w:pPr>
      <w:r>
        <w:t xml:space="preserve">4.4. Medidas Coercitivas e Execução Forçada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Pedido de penhora de bens</w:t>
      </w:r>
      <w:r>
        <w:t xml:space="preserve"> </w:t>
      </w:r>
      <w:r>
        <w:t xml:space="preserve">(automóvel e conta bancária) caso o réu não comprove a mudança de residência até</w:t>
      </w:r>
      <w:r>
        <w:t xml:space="preserve"> </w:t>
      </w:r>
      <w:r>
        <w:rPr>
          <w:b/>
          <w:bCs/>
        </w:rPr>
        <w:t xml:space="preserve">14 de março de 2026</w:t>
      </w:r>
      <w:r>
        <w:t xml:space="preserve">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Requerimento de coima diária</w:t>
      </w:r>
      <w:r>
        <w:t xml:space="preserve"> </w:t>
      </w:r>
      <w:r>
        <w:t xml:space="preserve">ao tribunal, com cálculo automático a partir da data de incumprimento.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Comunicação ao Ministério Público</w:t>
      </w:r>
      <w:r>
        <w:t xml:space="preserve"> </w:t>
      </w:r>
      <w:r>
        <w:t xml:space="preserve">para avaliação de eventual</w:t>
      </w:r>
      <w:r>
        <w:t xml:space="preserve"> </w:t>
      </w:r>
      <w:r>
        <w:rPr>
          <w:b/>
          <w:bCs/>
        </w:rPr>
        <w:t xml:space="preserve">suspensão da autoridade parental</w:t>
      </w:r>
      <w:r>
        <w:t xml:space="preserve"> </w:t>
      </w:r>
      <w:r>
        <w:t xml:space="preserve">caso se verifique reincidência.</w:t>
      </w:r>
    </w:p>
    <w:bookmarkEnd w:id="15"/>
    <w:bookmarkStart w:id="16" w:name="comunicação-com-o-tribunal"/>
    <w:p>
      <w:pPr>
        <w:pStyle w:val="Heading4"/>
      </w:pPr>
      <w:r>
        <w:t xml:space="preserve">4.5. Comunicação com o Tribunal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Despacho de atualização</w:t>
      </w:r>
      <w:r>
        <w:t xml:space="preserve"> </w:t>
      </w:r>
      <w:r>
        <w:t xml:space="preserve">a ser apresentado a cada 30 dias, contendo:</w:t>
      </w:r>
    </w:p>
    <w:p>
      <w:pPr>
        <w:pStyle w:val="Compact"/>
        <w:numPr>
          <w:ilvl w:val="1"/>
          <w:numId w:val="1008"/>
        </w:numPr>
      </w:pPr>
      <w:r>
        <w:t xml:space="preserve">Estado da mudança de residência;</w:t>
      </w:r>
      <w:r>
        <w:br/>
      </w:r>
    </w:p>
    <w:p>
      <w:pPr>
        <w:pStyle w:val="Compact"/>
        <w:numPr>
          <w:ilvl w:val="1"/>
          <w:numId w:val="1008"/>
        </w:numPr>
      </w:pPr>
      <w:r>
        <w:t xml:space="preserve">Cumprimento das visitas;</w:t>
      </w:r>
      <w:r>
        <w:br/>
      </w:r>
    </w:p>
    <w:p>
      <w:pPr>
        <w:pStyle w:val="Compact"/>
        <w:numPr>
          <w:ilvl w:val="1"/>
          <w:numId w:val="1008"/>
        </w:numPr>
      </w:pPr>
      <w:r>
        <w:t xml:space="preserve">Relatórios psicológicos;</w:t>
      </w:r>
      <w:r>
        <w:br/>
      </w:r>
    </w:p>
    <w:p>
      <w:pPr>
        <w:pStyle w:val="Compact"/>
        <w:numPr>
          <w:ilvl w:val="1"/>
          <w:numId w:val="1008"/>
        </w:numPr>
      </w:pPr>
      <w:r>
        <w:t xml:space="preserve">Eventuais incumprimentos e medidas adotadas.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Audiência de controlo</w:t>
      </w:r>
      <w:r>
        <w:t xml:space="preserve"> </w:t>
      </w:r>
      <w:r>
        <w:t xml:space="preserve">a solicitar para</w:t>
      </w:r>
      <w:r>
        <w:t xml:space="preserve"> </w:t>
      </w:r>
      <w:r>
        <w:rPr>
          <w:b/>
          <w:bCs/>
        </w:rPr>
        <w:t xml:space="preserve">30 de junho de 2026</w:t>
      </w:r>
      <w:r>
        <w:t xml:space="preserve">, a fim de validar o plano de acompanhamento e, se necessário, ajustar o regime de visitas.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cronograma-de-execução"/>
    <w:p>
      <w:pPr>
        <w:pStyle w:val="Heading3"/>
      </w:pPr>
      <w:r>
        <w:t xml:space="preserve">5. Cronograma de Execução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1900"/>
        <w:gridCol w:w="411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Ação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20/02/2026</w:t>
            </w:r>
          </w:p>
        </w:tc>
        <w:tc>
          <w:tcPr/>
          <w:p>
            <w:pPr>
              <w:pStyle w:val="Compact"/>
            </w:pPr>
            <w:r>
              <w:t xml:space="preserve">Emissão da nota interna e aprovação interna</w:t>
            </w:r>
          </w:p>
        </w:tc>
        <w:tc>
          <w:tcPr/>
          <w:p>
            <w:pPr>
              <w:pStyle w:val="Compact"/>
            </w:pPr>
            <w:r>
              <w:t xml:space="preserve">Dr. Ana Sofia Martins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22/02/2026</w:t>
            </w:r>
          </w:p>
        </w:tc>
        <w:tc>
          <w:tcPr/>
          <w:p>
            <w:pPr>
              <w:pStyle w:val="Compact"/>
            </w:pPr>
            <w:r>
              <w:t xml:space="preserve">Envio de carta‑certificada ao réu</w:t>
            </w:r>
          </w:p>
        </w:tc>
        <w:tc>
          <w:tcPr/>
          <w:p>
            <w:pPr>
              <w:pStyle w:val="Compact"/>
            </w:pPr>
            <w:r>
              <w:t xml:space="preserve">Dr. Luís Fernando Carvalho</w:t>
            </w:r>
          </w:p>
        </w:tc>
      </w:tr>
      <w:tr>
        <w:tc>
          <w:tcPr/>
          <w:p>
            <w:pPr>
              <w:pStyle w:val="Compact"/>
            </w:pPr>
            <w:r>
              <w:t xml:space="preserve">01/03/2026</w:t>
            </w:r>
          </w:p>
        </w:tc>
        <w:tc>
          <w:tcPr/>
          <w:p>
            <w:pPr>
              <w:pStyle w:val="Compact"/>
            </w:pPr>
            <w:r>
              <w:t xml:space="preserve">Formalização de acordo com o CAF</w:t>
            </w:r>
          </w:p>
        </w:tc>
        <w:tc>
          <w:tcPr/>
          <w:p>
            <w:pPr>
              <w:pStyle w:val="Compact"/>
            </w:pPr>
            <w:r>
              <w:t xml:space="preserve">Assistente Social – CAF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05/03/2026</w:t>
            </w:r>
          </w:p>
        </w:tc>
        <w:tc>
          <w:tcPr/>
          <w:p>
            <w:pPr>
              <w:pStyle w:val="Compact"/>
            </w:pPr>
            <w:r>
              <w:t xml:space="preserve">Início das sessões de psicologia à menor</w:t>
            </w:r>
          </w:p>
        </w:tc>
        <w:tc>
          <w:tcPr/>
          <w:p>
            <w:pPr>
              <w:pStyle w:val="Compact"/>
            </w:pPr>
            <w:r>
              <w:t xml:space="preserve">Dr.ª Carla Mendes (SPCJ)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14/03/2026</w:t>
            </w:r>
          </w:p>
        </w:tc>
        <w:tc>
          <w:tcPr/>
          <w:p>
            <w:pPr>
              <w:pStyle w:val="Compact"/>
            </w:pPr>
            <w:r>
              <w:t xml:space="preserve">Verificação da mudança de residência do réu</w:t>
            </w:r>
          </w:p>
        </w:tc>
        <w:tc>
          <w:tcPr/>
          <w:p>
            <w:pPr>
              <w:pStyle w:val="Compact"/>
            </w:pPr>
            <w:r>
              <w:t xml:space="preserve">Advogados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30/03/2026</w:t>
            </w:r>
          </w:p>
        </w:tc>
        <w:tc>
          <w:tcPr/>
          <w:p>
            <w:pPr>
              <w:pStyle w:val="Compact"/>
            </w:pPr>
            <w:r>
              <w:t xml:space="preserve">Primeiro relatório mensal ao tribunal</w:t>
            </w:r>
          </w:p>
        </w:tc>
        <w:tc>
          <w:tcPr/>
          <w:p>
            <w:pPr>
              <w:pStyle w:val="Compact"/>
            </w:pPr>
            <w:r>
              <w:t xml:space="preserve">Advogados + Psicólogo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30/06/2026</w:t>
            </w:r>
          </w:p>
        </w:tc>
        <w:tc>
          <w:tcPr/>
          <w:p>
            <w:pPr>
              <w:pStyle w:val="Compact"/>
            </w:pPr>
            <w:r>
              <w:t xml:space="preserve">Audiência de controlo</w:t>
            </w:r>
          </w:p>
        </w:tc>
        <w:tc>
          <w:tcPr/>
          <w:p>
            <w:pPr>
              <w:pStyle w:val="Compact"/>
            </w:pPr>
            <w:r>
              <w:t xml:space="preserve">Advogados + Representante da mãe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30/09/2026</w:t>
            </w:r>
          </w:p>
        </w:tc>
        <w:tc>
          <w:tcPr/>
          <w:p>
            <w:pPr>
              <w:pStyle w:val="Compact"/>
            </w:pPr>
            <w:r>
              <w:t xml:space="preserve">Revisão do regime de visitas (se necessário)</w:t>
            </w:r>
          </w:p>
        </w:tc>
        <w:tc>
          <w:tcPr/>
          <w:p>
            <w:pPr>
              <w:pStyle w:val="Compact"/>
            </w:pPr>
            <w:r>
              <w:t xml:space="preserve">Advogados + CAF</w:t>
            </w:r>
          </w:p>
        </w:tc>
      </w:tr>
      <w:tr>
        <w:tc>
          <w:tcPr/>
          <w:p>
            <w:pPr>
              <w:pStyle w:val="Compact"/>
            </w:pPr>
            <w:r>
              <w:t xml:space="preserve">31/12/2026</w:t>
            </w:r>
          </w:p>
        </w:tc>
        <w:tc>
          <w:tcPr/>
          <w:p>
            <w:pPr>
              <w:pStyle w:val="Compact"/>
            </w:pPr>
            <w:r>
              <w:t xml:space="preserve">Avaliação final do cumprimento da sentença</w:t>
            </w:r>
          </w:p>
        </w:tc>
        <w:tc>
          <w:tcPr/>
          <w:p>
            <w:pPr>
              <w:pStyle w:val="Compact"/>
            </w:pPr>
            <w:r>
              <w:t xml:space="preserve">Advogados + SPCJ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responsabilidades-internas"/>
    <w:p>
      <w:pPr>
        <w:pStyle w:val="Heading3"/>
      </w:pPr>
      <w:r>
        <w:t xml:space="preserve">6. Responsabilidades Internas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2709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Área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Tarefas Principais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Direção Jurídica</w:t>
            </w:r>
          </w:p>
        </w:tc>
        <w:tc>
          <w:tcPr/>
          <w:p>
            <w:pPr>
              <w:pStyle w:val="Compact"/>
            </w:pPr>
            <w:r>
              <w:t xml:space="preserve">Dr. Ana Sofia Martins</w:t>
            </w:r>
          </w:p>
        </w:tc>
        <w:tc>
          <w:tcPr/>
          <w:p>
            <w:pPr>
              <w:pStyle w:val="Compact"/>
            </w:pPr>
            <w:r>
              <w:t xml:space="preserve">Aprovação da estratégia, supervisão dos pedidos ao tribunal, contactos com o Ministério Público.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Advocacia – Família</w:t>
            </w:r>
          </w:p>
        </w:tc>
        <w:tc>
          <w:tcPr/>
          <w:p>
            <w:pPr>
              <w:pStyle w:val="Compact"/>
            </w:pPr>
            <w:r>
              <w:t xml:space="preserve">Dr. Luís Fernando Carvalho</w:t>
            </w:r>
          </w:p>
        </w:tc>
        <w:tc>
          <w:tcPr/>
          <w:p>
            <w:pPr>
              <w:pStyle w:val="Compact"/>
            </w:pPr>
            <w:r>
              <w:t xml:space="preserve">Redação de notificações, acompanhamento de processos de execução, elaboração de requerimentos de coima.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Assistência Social</w:t>
            </w:r>
          </w:p>
        </w:tc>
        <w:tc>
          <w:tcPr/>
          <w:p>
            <w:pPr>
              <w:pStyle w:val="Compact"/>
            </w:pPr>
            <w:r>
              <w:t xml:space="preserve">Assistente Social – CAF (Sra. Margarida Lopes)</w:t>
            </w:r>
          </w:p>
        </w:tc>
        <w:tc>
          <w:tcPr/>
          <w:p>
            <w:pPr>
              <w:pStyle w:val="Compact"/>
            </w:pPr>
            <w:r>
              <w:t xml:space="preserve">Coordenação das visitas supervisionadas, registo de presença, elaboração de relatórios de comportamento.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Psicologia Infantil</w:t>
            </w:r>
          </w:p>
        </w:tc>
        <w:tc>
          <w:tcPr/>
          <w:p>
            <w:pPr>
              <w:pStyle w:val="Compact"/>
            </w:pPr>
            <w:r>
              <w:t xml:space="preserve">Dr.ª Carla Mendes (SPCJ)</w:t>
            </w:r>
          </w:p>
        </w:tc>
        <w:tc>
          <w:tcPr/>
          <w:p>
            <w:pPr>
              <w:pStyle w:val="Compact"/>
            </w:pPr>
            <w:r>
              <w:t xml:space="preserve">Realização das sessões, produção de relatórios de acompanhamento, avaliação de risco.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Administração</w:t>
            </w:r>
          </w:p>
        </w:tc>
        <w:tc>
          <w:tcPr/>
          <w:p>
            <w:pPr>
              <w:pStyle w:val="Compact"/>
            </w:pPr>
            <w:r>
              <w:t xml:space="preserve">Sr. Pedro Alves</w:t>
            </w:r>
          </w:p>
        </w:tc>
        <w:tc>
          <w:tcPr/>
          <w:p>
            <w:pPr>
              <w:pStyle w:val="Compact"/>
            </w:pPr>
            <w:r>
              <w:t xml:space="preserve">Gestão de prazos, controle de documentos, agenda de audiências.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riscos-e-mitigações"/>
    <w:p>
      <w:pPr>
        <w:pStyle w:val="Heading3"/>
      </w:pPr>
      <w:r>
        <w:t xml:space="preserve">7. Riscos e Mitigações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55"/>
        <w:gridCol w:w="2184"/>
        <w:gridCol w:w="1228"/>
        <w:gridCol w:w="35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Risco</w:t>
            </w:r>
          </w:p>
        </w:tc>
        <w:tc>
          <w:tcPr/>
          <w:p>
            <w:pPr>
              <w:pStyle w:val="Compact"/>
            </w:pPr>
            <w:r>
              <w:t xml:space="preserve">Probabilidade</w:t>
            </w:r>
          </w:p>
        </w:tc>
        <w:tc>
          <w:tcPr/>
          <w:p>
            <w:pPr>
              <w:pStyle w:val="Compact"/>
            </w:pPr>
            <w:r>
              <w:t xml:space="preserve">Impacto</w:t>
            </w:r>
          </w:p>
        </w:tc>
        <w:tc>
          <w:tcPr/>
          <w:p>
            <w:pPr>
              <w:pStyle w:val="Compact"/>
            </w:pPr>
            <w:r>
              <w:t xml:space="preserve">Estratégia de Mitigação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Não mudança de residência do réu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Alto (incumprimento da principal obrigação)</w:t>
            </w:r>
          </w:p>
        </w:tc>
        <w:tc>
          <w:tcPr/>
          <w:p>
            <w:pPr>
              <w:pStyle w:val="Compact"/>
            </w:pPr>
            <w:r>
              <w:t xml:space="preserve">Pedido urgente de penhora e coima diária; comunicação imediata ao Ministério Público.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Recusa do CAF em aceitar visitas</w:t>
            </w:r>
          </w:p>
        </w:tc>
        <w:tc>
          <w:tcPr/>
          <w:p>
            <w:pPr>
              <w:pStyle w:val="Compact"/>
            </w:pPr>
            <w:r>
              <w:t xml:space="preserve">Baixo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Negociação prévia e assinatura de acordo de colaboração; alternativa de visitas em outro centro reconhecido.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Desistência da mãe em colaborar</w:t>
            </w:r>
          </w:p>
        </w:tc>
        <w:tc>
          <w:tcPr/>
          <w:p>
            <w:pPr>
              <w:pStyle w:val="Compact"/>
            </w:pPr>
            <w:r>
              <w:t xml:space="preserve">Muito baixo</w:t>
            </w:r>
          </w:p>
        </w:tc>
        <w:tc>
          <w:tcPr/>
          <w:p>
            <w:pPr>
              <w:pStyle w:val="Compact"/>
            </w:pPr>
            <w:r>
              <w:t xml:space="preserve">Alto</w:t>
            </w:r>
          </w:p>
        </w:tc>
        <w:tc>
          <w:tcPr/>
          <w:p>
            <w:pPr>
              <w:pStyle w:val="Compact"/>
            </w:pPr>
            <w:r>
              <w:t xml:space="preserve">Manter comunicação contínua, apoio jurídico e psicossocial à mãe; reforço da confiança no processo.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Atraso na entrega de relatórios ao tribunal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Médio</w:t>
            </w:r>
          </w:p>
        </w:tc>
        <w:tc>
          <w:tcPr/>
          <w:p>
            <w:pPr>
              <w:pStyle w:val="Compact"/>
            </w:pPr>
            <w:r>
              <w:t xml:space="preserve">Calendarização rigorosa, alertas automáticos de prazos, backup de documentos.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conclusão"/>
    <w:p>
      <w:pPr>
        <w:pStyle w:val="Heading3"/>
      </w:pPr>
      <w:r>
        <w:t xml:space="preserve">8. Conclusão</w:t>
      </w:r>
    </w:p>
    <w:p>
      <w:pPr>
        <w:pStyle w:val="FirstParagraph"/>
      </w:pPr>
      <w:r>
        <w:t xml:space="preserve">A execução eficaz da sentença requer</w:t>
      </w:r>
      <w:r>
        <w:t xml:space="preserve"> </w:t>
      </w:r>
      <w:r>
        <w:rPr>
          <w:b/>
          <w:bCs/>
        </w:rPr>
        <w:t xml:space="preserve">coordenação estreita</w:t>
      </w:r>
      <w:r>
        <w:t xml:space="preserve"> </w:t>
      </w:r>
      <w:r>
        <w:t xml:space="preserve">entre a equipa jurídica, o CAF, o SPCJ e o tribunal. A estratégia aqui apresentada assegura o cumprimento dos prazos legais, protege o interesse superior da menor Ana Sofia Pereira e oferece mecanismos de resposta rápida em caso de incumprimento.</w:t>
      </w:r>
    </w:p>
    <w:p>
      <w:pPr>
        <w:pStyle w:val="BodyText"/>
      </w:pPr>
      <w:r>
        <w:t xml:space="preserve">Solicita‑se a aprovação imediata desta nota interna, bem como a disponibilização dos recursos necessários para a sua implementação, a fim de garantir que a decisão judicial seja plenamente efetiva.</w:t>
      </w:r>
    </w:p>
    <w:p>
      <w:pPr>
        <w:pStyle w:val="BodyText"/>
      </w:pPr>
      <w:r>
        <w:rPr>
          <w:b/>
          <w:bCs/>
        </w:rPr>
        <w:t xml:space="preserve">Assinaturas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 Ana Sofia Martins – OA 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 Luís Fernando Carvalho – OA 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Sra. Margarida Lopes – Assistente Social, CAF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interno confidencial – uso exclusivo da equipa jurídica e dos serviços de apoio designados.</w:t>
      </w:r>
    </w:p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